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t>取水许可延续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申请条件：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除相关法律、法规规定不需要申请领取取水许可证以外，城市建成区内取用地下水的。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申报材料：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延续取水许可申请书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延续取水评估表（生产、生活、卫生、绿化的需要提供；水源热泵用水的除外）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原取水许可证原件及复印件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如果法人或单位名称有变化的，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还需</w:t>
      </w:r>
      <w:r>
        <w:rPr>
          <w:rFonts w:hint="eastAsia" w:ascii="仿宋" w:hAnsi="仿宋" w:eastAsia="仿宋" w:cs="仿宋"/>
          <w:sz w:val="32"/>
          <w:szCs w:val="32"/>
        </w:rPr>
        <w:t>提供营业执照和法人身份证复印件</w:t>
      </w: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</w:p>
    <w:p>
      <w:pPr>
        <w:jc w:val="left"/>
        <w:rPr>
          <w:rFonts w:hint="eastAsia" w:eastAsia="黑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0B273"/>
    <w:multiLevelType w:val="singleLevel"/>
    <w:tmpl w:val="E090B2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5EB8"/>
    <w:rsid w:val="148B5E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2018-11-26T07:54:00Z</dcterms:created>
  <dc:creator>Administrator</dc:creator>
  <cp:lastModifiedBy>Administrator</cp:lastModifiedBy>
  <dcterms:modified xsi:type="dcterms:W3CDTF">2018-11-26T07:54:19Z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