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cs="仿宋"/>
          <w:b w:val="0"/>
          <w:bCs w:val="0"/>
          <w:sz w:val="32"/>
          <w:szCs w:val="32"/>
          <w:vertAlign w:val="baseline"/>
          <w:lang w:val="en-US" w:eastAsia="zh-CN"/>
        </w:rPr>
      </w:pPr>
    </w:p>
    <w:p>
      <w:pPr>
        <w:jc w:val="both"/>
        <w:rPr>
          <w:rFonts w:hint="eastAsia" w:ascii="黑体" w:hAnsi="黑体" w:eastAsia="黑体" w:cs="黑体"/>
          <w:b w:val="0"/>
          <w:bCs w:val="0"/>
          <w:sz w:val="44"/>
          <w:szCs w:val="44"/>
          <w:vertAlign w:val="baseline"/>
          <w:lang w:val="en-US" w:eastAsia="zh-CN"/>
        </w:rPr>
      </w:pPr>
      <w:r>
        <w:rPr>
          <w:rFonts w:hint="eastAsia" w:ascii="黑体" w:hAnsi="黑体" w:eastAsia="黑体" w:cs="黑体"/>
          <w:b w:val="0"/>
          <w:bCs w:val="0"/>
          <w:sz w:val="36"/>
          <w:szCs w:val="36"/>
          <w:vertAlign w:val="baseline"/>
          <w:lang w:val="en-US" w:eastAsia="zh-CN"/>
        </w:rPr>
        <w:t>申请文件样式：</w:t>
      </w:r>
    </w:p>
    <w:p>
      <w:pPr>
        <w:jc w:val="center"/>
        <w:rPr>
          <w:rFonts w:hint="eastAsia" w:ascii="黑体" w:eastAsia="黑体"/>
          <w:b/>
          <w:sz w:val="48"/>
          <w:szCs w:val="48"/>
        </w:rPr>
      </w:pPr>
      <w:r>
        <w:rPr>
          <w:rFonts w:hint="eastAsia" w:ascii="黑体" w:eastAsia="黑体"/>
          <w:b/>
          <w:color w:val="FF0000"/>
          <w:sz w:val="48"/>
          <w:szCs w:val="48"/>
        </w:rPr>
        <w:pict>
          <v:shape id="_x0000_i1025" o:spt="136" type="#_x0000_t136" style="height:58.3pt;width:432pt;" fillcolor="#FF0000" filled="t" stroked="t" coordsize="21600,21600">
            <v:path/>
            <v:fill on="t" focussize="0,0"/>
            <v:stroke color="#FF0000"/>
            <v:imagedata o:title=""/>
            <o:lock v:ext="edit"/>
            <v:textpath on="t" fitshape="t" fitpath="t" trim="t" xscale="f" string="吉林     热电有限公司" style="font-family:方正小标宋简体;font-size:36pt;v-rotate-letters:f;v-same-letter-heights:t;v-text-align:center;"/>
            <w10:wrap type="none"/>
            <w10:anchorlock/>
          </v:shape>
        </w:pict>
      </w:r>
    </w:p>
    <w:p>
      <w:pPr>
        <w:jc w:val="center"/>
        <w:rPr>
          <w:rFonts w:hint="eastAsia" w:ascii="黑体" w:eastAsia="黑体"/>
          <w:b/>
          <w:sz w:val="48"/>
          <w:szCs w:val="48"/>
        </w:rPr>
      </w:pPr>
    </w:p>
    <w:p>
      <w:pPr>
        <w:rPr>
          <w:rFonts w:hint="eastAsia" w:ascii="黑体" w:eastAsia="黑体"/>
          <w:sz w:val="44"/>
          <w:szCs w:val="44"/>
        </w:rPr>
      </w:pPr>
      <w:r>
        <w:rPr>
          <w:rFonts w:hint="eastAsia" w:ascii="仿宋_GB2312" w:hAnsi="宋体" w:eastAsia="仿宋_GB2312"/>
          <w:sz w:val="30"/>
          <w:szCs w:val="30"/>
        </w:rPr>
        <w:t xml:space="preserve">             </w:t>
      </w:r>
      <w:r>
        <w:rPr>
          <w:rFonts w:hint="eastAsia"/>
          <w:sz w:val="44"/>
          <w:szCs w:val="44"/>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0</wp:posOffset>
                </wp:positionV>
                <wp:extent cx="60579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60579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0pt;height:0pt;width:477pt;z-index:251675648;mso-width-relative:page;mso-height-relative:page;" filled="f" stroked="t" coordsize="21600,21600" o:gfxdata="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FENoO0wAAAAUBAAAPAAAAAAAAAAEA&#10;IAAAACIAAABkcnMvZG93bnJldi54bWxQSwECFAAUAAAACACHTuJASp89B9sBAACWAwAADgAAAAAA&#10;AAABACAAAAAiAQAAZHJzL2Uyb0RvYy54bWxQSwUGAAAAAAYABgBZAQAAbwUAAAAA&#10;">
                <v:path arrowok="t"/>
                <v:fill on="f" focussize="0,0"/>
                <v:stroke color="#FF0000"/>
                <v:imagedata o:title=""/>
                <o:lock v:ext="edit"/>
              </v:line>
            </w:pict>
          </mc:Fallback>
        </mc:AlternateContent>
      </w:r>
    </w:p>
    <w:p>
      <w:pPr>
        <w:jc w:val="center"/>
        <w:rPr>
          <w:rFonts w:hint="eastAsia" w:ascii="仿宋" w:hAnsi="仿宋" w:eastAsia="仿宋"/>
          <w:b/>
          <w:sz w:val="44"/>
          <w:szCs w:val="44"/>
        </w:rPr>
      </w:pPr>
      <w:r>
        <w:rPr>
          <w:rFonts w:hint="eastAsia" w:ascii="仿宋" w:hAnsi="仿宋" w:eastAsia="仿宋"/>
          <w:b/>
          <w:sz w:val="44"/>
          <w:szCs w:val="44"/>
        </w:rPr>
        <w:t>关于吉林     热电有限公司热电联产改扩建项目水土保持方案报告书的请示</w:t>
      </w:r>
    </w:p>
    <w:p>
      <w:pPr>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ascii="仿宋" w:hAnsi="仿宋" w:eastAsia="仿宋"/>
          <w:sz w:val="32"/>
          <w:szCs w:val="32"/>
        </w:rPr>
      </w:pPr>
      <w:r>
        <w:rPr>
          <w:rFonts w:hint="eastAsia" w:ascii="仿宋" w:hAnsi="仿宋" w:eastAsia="仿宋"/>
          <w:sz w:val="32"/>
          <w:szCs w:val="32"/>
        </w:rPr>
        <w:t>白城市水利局：</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吉林    热电有限公司稻壳发电热电联产综合利用项目位于镇赉县工业集中区内。本工期工程建设1×125t/h高温高压循环流化床锅炉+1×25MW抽凝式低真空供热汽轮机+1×30MW发电机及相关配套设施。</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根据中华人民共和国水土保持法的有关规定，吉林众合生物职能热电有限公司委托中国电力工程顾问集团东北电力设计院有限公司编制完成了《吉林      热电有限公司热电联产改扩建项目水土保持方案报告书》，现随文报上，请予审批。</w:t>
      </w:r>
    </w:p>
    <w:p>
      <w:pPr>
        <w:keepNext w:val="0"/>
        <w:keepLines w:val="0"/>
        <w:pageBreakBefore w:val="0"/>
        <w:widowControl w:val="0"/>
        <w:kinsoku/>
        <w:wordWrap/>
        <w:overflowPunct/>
        <w:topLinePunct w:val="0"/>
        <w:autoSpaceDE/>
        <w:autoSpaceDN/>
        <w:bidi w:val="0"/>
        <w:adjustRightInd/>
        <w:snapToGrid/>
        <w:ind w:left="960" w:leftChars="0" w:hanging="960" w:hangingChars="300"/>
        <w:textAlignment w:val="auto"/>
        <w:outlineLvl w:val="9"/>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ind w:left="1918" w:leftChars="456" w:hanging="960" w:hangingChars="300"/>
        <w:textAlignment w:val="auto"/>
        <w:outlineLvl w:val="9"/>
        <w:rPr>
          <w:rFonts w:hint="eastAsia" w:ascii="仿宋" w:hAnsi="仿宋" w:eastAsia="仿宋"/>
          <w:sz w:val="32"/>
          <w:szCs w:val="32"/>
          <w:lang w:val="en-US" w:eastAsia="zh-CN"/>
        </w:rPr>
      </w:pPr>
      <w:r>
        <w:rPr>
          <w:rFonts w:hint="eastAsia" w:ascii="仿宋" w:hAnsi="仿宋" w:eastAsia="仿宋"/>
          <w:sz w:val="32"/>
          <w:szCs w:val="32"/>
        </w:rPr>
        <w:t>附件：《吉林          热电有限公司热电联产改扩建项目水土保持方案报告书》</w:t>
      </w:r>
    </w:p>
    <w:p>
      <w:pPr>
        <w:ind w:firstLine="5760" w:firstLineChars="18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XXX(单位）公章</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XX年XX月XX日</w:t>
      </w:r>
    </w:p>
    <w:p>
      <w:pPr>
        <w:pStyle w:val="3"/>
        <w:snapToGrid w:val="0"/>
        <w:spacing w:line="360" w:lineRule="auto"/>
        <w:ind w:firstLine="0" w:firstLineChars="0"/>
        <w:rPr>
          <w:rFonts w:ascii="Times New Roman" w:hAnsi="黑体" w:eastAsia="黑体"/>
          <w:sz w:val="32"/>
          <w:szCs w:val="32"/>
        </w:rPr>
      </w:pPr>
    </w:p>
    <w:p>
      <w:pPr>
        <w:pStyle w:val="3"/>
        <w:snapToGrid w:val="0"/>
        <w:spacing w:line="360" w:lineRule="auto"/>
        <w:ind w:firstLine="0" w:firstLineChars="0"/>
        <w:jc w:val="center"/>
        <w:outlineLvl w:val="0"/>
        <w:rPr>
          <w:rFonts w:ascii="Times New Roman" w:eastAsia="黑体"/>
          <w:bCs/>
          <w:szCs w:val="30"/>
        </w:rPr>
      </w:pPr>
      <w:r>
        <w:rPr>
          <w:rFonts w:hint="eastAsia" w:ascii="Times New Roman" w:eastAsia="黑体"/>
          <w:bCs/>
          <w:szCs w:val="30"/>
        </w:rPr>
        <w:t>水土保持方案</w:t>
      </w:r>
      <w:r>
        <w:rPr>
          <w:rFonts w:hint="eastAsia" w:ascii="Times New Roman" w:eastAsia="黑体"/>
          <w:bCs/>
          <w:szCs w:val="30"/>
          <w:lang w:val="en-US" w:eastAsia="zh-CN"/>
        </w:rPr>
        <w:t>报告书</w:t>
      </w:r>
      <w:r>
        <w:rPr>
          <w:rFonts w:hint="eastAsia" w:ascii="Times New Roman" w:eastAsia="黑体"/>
          <w:bCs/>
          <w:szCs w:val="30"/>
        </w:rPr>
        <w:t>示范文本</w:t>
      </w:r>
    </w:p>
    <w:p>
      <w:pPr>
        <w:pStyle w:val="3"/>
        <w:snapToGrid w:val="0"/>
        <w:spacing w:line="360" w:lineRule="auto"/>
        <w:ind w:firstLine="0" w:firstLineChars="0"/>
        <w:jc w:val="center"/>
        <w:outlineLvl w:val="0"/>
        <w:rPr>
          <w:rFonts w:hint="eastAsia"/>
          <w:bCs/>
          <w:sz w:val="24"/>
          <w:szCs w:val="30"/>
        </w:rPr>
      </w:pPr>
      <w:r>
        <w:rPr>
          <w:rFonts w:hint="eastAsia"/>
          <w:bCs/>
          <w:sz w:val="24"/>
          <w:szCs w:val="30"/>
        </w:rPr>
        <w:t>（水土保持方案编写提纲）</w:t>
      </w:r>
    </w:p>
    <w:p>
      <w:pPr>
        <w:pStyle w:val="3"/>
        <w:snapToGrid w:val="0"/>
        <w:spacing w:line="360" w:lineRule="auto"/>
        <w:ind w:firstLine="598" w:firstLineChars="187"/>
        <w:rPr>
          <w:rFonts w:hint="eastAsia" w:ascii="Times New Roman"/>
          <w:bCs/>
          <w:color w:val="000000"/>
          <w:sz w:val="32"/>
          <w:szCs w:val="32"/>
        </w:rPr>
      </w:pPr>
    </w:p>
    <w:p>
      <w:pPr>
        <w:pStyle w:val="2"/>
        <w:snapToGrid w:val="0"/>
        <w:spacing w:before="0" w:after="0" w:line="360" w:lineRule="auto"/>
        <w:jc w:val="left"/>
        <w:rPr>
          <w:rFonts w:eastAsia="仿宋_GB2312"/>
          <w:b w:val="0"/>
          <w:color w:val="000000"/>
          <w:kern w:val="2"/>
          <w:sz w:val="24"/>
          <w:szCs w:val="24"/>
        </w:rPr>
      </w:pPr>
      <w:r>
        <w:rPr>
          <w:rFonts w:eastAsia="仿宋_GB2312"/>
          <w:b w:val="0"/>
          <w:color w:val="000000"/>
          <w:kern w:val="2"/>
          <w:sz w:val="24"/>
          <w:szCs w:val="24"/>
        </w:rPr>
        <w:t xml:space="preserve">A.0.1  </w:t>
      </w:r>
      <w:r>
        <w:rPr>
          <w:rFonts w:hint="eastAsia" w:eastAsia="仿宋_GB2312"/>
          <w:b w:val="0"/>
          <w:color w:val="000000"/>
          <w:kern w:val="2"/>
          <w:sz w:val="24"/>
          <w:szCs w:val="24"/>
        </w:rPr>
        <w:t>综合说明应简要说明下列内容：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主体工程的概况、方案设计深度及方案设计水平年。</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项目所在地的水土流失重点防治区划分情况，防治标准执行等级。</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主体工程水土保持分析评价结论。</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水土流失防治责任范围及面积。</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水土流失预测结果。主要包括损坏水土保持设施数量、建设期水土流失总量及新增量、水土流失重点区段及时段。</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6  </w:t>
      </w:r>
      <w:r>
        <w:rPr>
          <w:rFonts w:hint="eastAsia" w:ascii="Times New Roman"/>
          <w:bCs/>
          <w:color w:val="000000"/>
          <w:sz w:val="24"/>
        </w:rPr>
        <w:t>水土保持措施总体布局、主要工程量。</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7  </w:t>
      </w:r>
      <w:r>
        <w:rPr>
          <w:rFonts w:hint="eastAsia" w:ascii="Times New Roman"/>
          <w:bCs/>
          <w:color w:val="000000"/>
          <w:sz w:val="24"/>
        </w:rPr>
        <w:t>水土保持投资估算及效益分析。</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8  </w:t>
      </w:r>
      <w:r>
        <w:rPr>
          <w:rFonts w:hint="eastAsia" w:ascii="Times New Roman"/>
          <w:bCs/>
          <w:color w:val="000000"/>
          <w:sz w:val="24"/>
        </w:rPr>
        <w:t>结论与建议。</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9  </w:t>
      </w:r>
      <w:r>
        <w:rPr>
          <w:rFonts w:hint="eastAsia" w:ascii="Times New Roman"/>
          <w:bCs/>
          <w:color w:val="000000"/>
          <w:sz w:val="24"/>
        </w:rPr>
        <w:t>水土保持方案特性表（见附表</w:t>
      </w:r>
      <w:r>
        <w:rPr>
          <w:rFonts w:ascii="Times New Roman"/>
          <w:bCs/>
          <w:color w:val="000000"/>
          <w:sz w:val="24"/>
        </w:rPr>
        <w:t>A.0.1</w:t>
      </w:r>
      <w:r>
        <w:rPr>
          <w:rFonts w:hint="eastAsia" w:ascii="Times New Roman"/>
          <w:bCs/>
          <w:color w:val="000000"/>
          <w:sz w:val="24"/>
        </w:rPr>
        <w:t>）</w:t>
      </w:r>
    </w:p>
    <w:p>
      <w:pPr>
        <w:pStyle w:val="2"/>
        <w:snapToGrid w:val="0"/>
        <w:spacing w:before="0" w:after="0" w:line="360" w:lineRule="auto"/>
        <w:jc w:val="left"/>
        <w:rPr>
          <w:rFonts w:eastAsia="仿宋_GB2312"/>
          <w:b w:val="0"/>
          <w:color w:val="000000"/>
          <w:kern w:val="2"/>
          <w:sz w:val="24"/>
          <w:szCs w:val="24"/>
        </w:rPr>
      </w:pPr>
      <w:r>
        <w:rPr>
          <w:rFonts w:eastAsia="仿宋_GB2312"/>
          <w:b w:val="0"/>
          <w:color w:val="000000"/>
          <w:kern w:val="2"/>
          <w:sz w:val="24"/>
          <w:szCs w:val="24"/>
        </w:rPr>
        <w:t xml:space="preserve">A.0.2  </w:t>
      </w:r>
      <w:r>
        <w:rPr>
          <w:rFonts w:hint="eastAsia" w:eastAsia="仿宋_GB2312"/>
          <w:b w:val="0"/>
          <w:color w:val="000000"/>
          <w:kern w:val="2"/>
          <w:sz w:val="24"/>
          <w:szCs w:val="24"/>
        </w:rPr>
        <w:t>水土保持方案编制总则应包括下列内容：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方案编制的目的与意义。</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编制依据。包括法律、法规、规章、规范性文件、技术规范与标准、相关资料等。</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水土流失防治的执行标准。按《开发建设项目水土流失防治标准》</w:t>
      </w:r>
      <w:r>
        <w:rPr>
          <w:rFonts w:ascii="Times New Roman"/>
          <w:bCs/>
          <w:color w:val="000000"/>
          <w:sz w:val="24"/>
        </w:rPr>
        <w:t>GB50434-2008</w:t>
      </w:r>
      <w:r>
        <w:rPr>
          <w:rFonts w:hint="eastAsia" w:ascii="Times New Roman"/>
          <w:bCs/>
          <w:color w:val="000000"/>
          <w:sz w:val="24"/>
        </w:rPr>
        <w:t>的规定，说明本项目水土流失防治的执行标准。</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指导思想。</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编制原则。</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6  </w:t>
      </w:r>
      <w:r>
        <w:rPr>
          <w:rFonts w:hint="eastAsia" w:ascii="Times New Roman"/>
          <w:bCs/>
          <w:color w:val="000000"/>
          <w:sz w:val="24"/>
        </w:rPr>
        <w:t>设计深度和方案设计水平年。</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A.0.3  </w:t>
      </w:r>
      <w:r>
        <w:rPr>
          <w:rFonts w:hint="eastAsia" w:ascii="Times New Roman"/>
          <w:bCs/>
          <w:color w:val="000000"/>
          <w:sz w:val="24"/>
        </w:rPr>
        <w:t>项目概况应按本规范</w:t>
      </w:r>
      <w:r>
        <w:rPr>
          <w:rFonts w:ascii="Times New Roman"/>
          <w:bCs/>
          <w:color w:val="000000"/>
          <w:sz w:val="24"/>
        </w:rPr>
        <w:t>5.3</w:t>
      </w:r>
      <w:r>
        <w:rPr>
          <w:rFonts w:hint="eastAsia" w:ascii="Times New Roman"/>
          <w:bCs/>
          <w:color w:val="000000"/>
          <w:sz w:val="24"/>
        </w:rPr>
        <w:t>中的规定，说明项目基本情况、项目组成及总体布置、施工组织、工程征占地、土石方量、工程投资、进度安排、拆迁与安置等情况。若有与其它项目的依托关系应予说明。</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A.0.4</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项目区概况应按本规范</w:t>
      </w:r>
      <w:r>
        <w:rPr>
          <w:rFonts w:ascii="Times New Roman"/>
          <w:bCs/>
          <w:color w:val="000000"/>
          <w:sz w:val="24"/>
        </w:rPr>
        <w:t>5.4</w:t>
      </w:r>
      <w:r>
        <w:rPr>
          <w:rFonts w:hint="eastAsia" w:ascii="Times New Roman"/>
          <w:bCs/>
          <w:color w:val="000000"/>
          <w:sz w:val="24"/>
        </w:rPr>
        <w:t>中的规定，简要说明项目所在区域自然条件、社会经济、土地利用情况，水土流失现状及防治情况，区域内生态建设与开发建设项目水土保持可借鉴的经验。</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A.0.5</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主体工程水土保持分析与评价应包括下列内容：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主体工程方案比选及制约性因素分析与评价。</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2</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主体工程占地类型、面积和占地性质的分析与评价。</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主体工程土石方平衡、弃土（石、渣）场、取料场的布置、施工组织、施工方法与工艺等评价。</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主体工程设计的水土保持分析与评价。</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工程建设与生产对水土流失的影响因素分析。</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6  </w:t>
      </w:r>
      <w:r>
        <w:rPr>
          <w:rFonts w:hint="eastAsia" w:ascii="Times New Roman"/>
          <w:bCs/>
          <w:color w:val="000000"/>
          <w:sz w:val="24"/>
        </w:rPr>
        <w:t>结论性意见、要求与建议。</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A.0.6  </w:t>
      </w:r>
      <w:r>
        <w:rPr>
          <w:rFonts w:hint="eastAsia" w:ascii="Times New Roman"/>
          <w:bCs/>
          <w:color w:val="000000"/>
          <w:sz w:val="24"/>
        </w:rPr>
        <w:t>防治责任范围及防治分区应包括下列内容：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分行政区划（以县为单位）列表说明工程占地类型、面积和占地性质等。</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责任范围确定的依据。</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防治责任范围。用文、表、图说明项目建设区、直接影响区的范围、面积等情况。</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水土流失防治分区。</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A.0.7  </w:t>
      </w:r>
      <w:r>
        <w:rPr>
          <w:rFonts w:hint="eastAsia" w:ascii="Times New Roman"/>
          <w:bCs/>
          <w:color w:val="000000"/>
          <w:sz w:val="24"/>
        </w:rPr>
        <w:t>水土流失预测应包括下列内容：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预测范围和预测时段。</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预测方法。应说明土壤侵蚀背景值、扰动后的模数值的取值依据。</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水土流失预测成果。应说明项目建设可能产生的水土流失量、损坏水土保持设施面积。</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4</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水土流失危害分析与评价。</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预测结论及指导性意见。</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A.0.8  </w:t>
      </w:r>
      <w:r>
        <w:rPr>
          <w:rFonts w:hint="eastAsia" w:ascii="Times New Roman"/>
          <w:bCs/>
          <w:color w:val="000000"/>
          <w:sz w:val="24"/>
        </w:rPr>
        <w:t>防治目标及防治措施布设应包括下列内容：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提出定性与定量的防治目标。</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水土流失防治措施布设原则。</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水土流失防治措施体系和总体布局。应附防治措施体系框图。</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不同类型防治工程的典型设计。</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5</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防治措施及工程量应分区，分工程措施、植物措施、临时措施列表说明各项防治工程的工程量。</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6  </w:t>
      </w:r>
      <w:r>
        <w:rPr>
          <w:rFonts w:hint="eastAsia" w:ascii="Times New Roman"/>
          <w:bCs/>
          <w:color w:val="000000"/>
          <w:sz w:val="24"/>
        </w:rPr>
        <w:t>水土保持施工组织设计。</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7</w:t>
      </w:r>
      <w:r>
        <w:rPr>
          <w:rFonts w:hint="eastAsia" w:ascii="Times New Roman"/>
          <w:bCs/>
          <w:color w:val="000000"/>
          <w:sz w:val="24"/>
        </w:rPr>
        <w:t xml:space="preserve"> </w:t>
      </w:r>
      <w:r>
        <w:rPr>
          <w:rFonts w:ascii="Times New Roman"/>
          <w:bCs/>
          <w:color w:val="000000"/>
          <w:sz w:val="24"/>
        </w:rPr>
        <w:t xml:space="preserve"> </w:t>
      </w:r>
      <w:r>
        <w:rPr>
          <w:rFonts w:hint="eastAsia" w:ascii="Times New Roman"/>
          <w:bCs/>
          <w:color w:val="000000"/>
          <w:sz w:val="24"/>
        </w:rPr>
        <w:t>水土保持措施进度安排。</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A.0.9  </w:t>
      </w:r>
      <w:r>
        <w:rPr>
          <w:rFonts w:hint="eastAsia" w:ascii="Times New Roman"/>
          <w:bCs/>
          <w:color w:val="000000"/>
          <w:sz w:val="24"/>
        </w:rPr>
        <w:t>水土保持监测应包括下列内容：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监测时段。</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监测区域（段）、监测点位。</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监测内容、方法及监测频次。</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监测工作量。应说明监测土建设施、消耗性材料、监测设备、监测所需人工等。</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水土保持监测成果要求。</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A.0.10  </w:t>
      </w:r>
      <w:r>
        <w:rPr>
          <w:rFonts w:hint="eastAsia" w:ascii="Times New Roman"/>
          <w:bCs/>
          <w:color w:val="000000"/>
          <w:sz w:val="24"/>
        </w:rPr>
        <w:t>投资估算及效益分析应包括下列内容：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投资估算的编制原则、依据、方法。</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水土保持投资概述。应附投资估算汇总表、分年度投资表、工程单价汇总表、材料用量汇总表。</w:t>
      </w:r>
      <w:r>
        <w:rPr>
          <w:rFonts w:ascii="Times New Roman"/>
          <w:bCs/>
          <w:color w:val="000000"/>
          <w:sz w:val="24"/>
        </w:rPr>
        <w:t xml:space="preserve"> </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防治效果预测应对照制定的目标，验算六项目标的达到情况。</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水土保持损益分析应从水、土资源、生态与环境等方面进行损益分析与评价。</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A.0.11  </w:t>
      </w:r>
      <w:r>
        <w:rPr>
          <w:rFonts w:hint="eastAsia" w:ascii="Times New Roman"/>
          <w:bCs/>
          <w:color w:val="000000"/>
          <w:sz w:val="24"/>
        </w:rPr>
        <w:t>实施保障措施应包括下列内容：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组织领导与管理。</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后续设计。</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3  </w:t>
      </w:r>
      <w:r>
        <w:rPr>
          <w:rFonts w:hint="eastAsia" w:ascii="Times New Roman"/>
          <w:bCs/>
          <w:color w:val="000000"/>
          <w:sz w:val="24"/>
        </w:rPr>
        <w:t>水土保持工程招标、投标。</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4  </w:t>
      </w:r>
      <w:r>
        <w:rPr>
          <w:rFonts w:hint="eastAsia" w:ascii="Times New Roman"/>
          <w:bCs/>
          <w:color w:val="000000"/>
          <w:sz w:val="24"/>
        </w:rPr>
        <w:t>水土保持工程建设监理。</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5  </w:t>
      </w:r>
      <w:r>
        <w:rPr>
          <w:rFonts w:hint="eastAsia" w:ascii="Times New Roman"/>
          <w:bCs/>
          <w:color w:val="000000"/>
          <w:sz w:val="24"/>
        </w:rPr>
        <w:t>水土保持监测。</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6  </w:t>
      </w:r>
      <w:r>
        <w:rPr>
          <w:rFonts w:hint="eastAsia" w:ascii="Times New Roman"/>
          <w:bCs/>
          <w:color w:val="000000"/>
          <w:sz w:val="24"/>
        </w:rPr>
        <w:t>施工管理。</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7  </w:t>
      </w:r>
      <w:r>
        <w:rPr>
          <w:rFonts w:hint="eastAsia" w:ascii="Times New Roman"/>
          <w:bCs/>
          <w:color w:val="000000"/>
          <w:sz w:val="24"/>
        </w:rPr>
        <w:t>检查与验收等。</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8  </w:t>
      </w:r>
      <w:r>
        <w:rPr>
          <w:rFonts w:hint="eastAsia" w:ascii="Times New Roman"/>
          <w:bCs/>
          <w:color w:val="000000"/>
          <w:sz w:val="24"/>
        </w:rPr>
        <w:t>资金来源及使用管理。</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A.0.12  </w:t>
      </w:r>
      <w:r>
        <w:rPr>
          <w:rFonts w:hint="eastAsia" w:ascii="Times New Roman"/>
          <w:bCs/>
          <w:color w:val="000000"/>
          <w:sz w:val="24"/>
        </w:rPr>
        <w:t>结论及建议应包括下列内容：</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水土保持方案总体结论。</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下阶段水土保持要求。</w:t>
      </w:r>
    </w:p>
    <w:p>
      <w:pPr>
        <w:pStyle w:val="3"/>
        <w:snapToGrid w:val="0"/>
        <w:spacing w:line="360" w:lineRule="auto"/>
        <w:ind w:firstLine="0" w:firstLineChars="0"/>
        <w:outlineLvl w:val="0"/>
        <w:rPr>
          <w:rFonts w:ascii="Times New Roman"/>
          <w:bCs/>
          <w:color w:val="000000"/>
          <w:sz w:val="24"/>
        </w:rPr>
      </w:pPr>
      <w:r>
        <w:rPr>
          <w:rFonts w:ascii="Times New Roman"/>
          <w:bCs/>
          <w:color w:val="000000"/>
          <w:sz w:val="24"/>
        </w:rPr>
        <w:t xml:space="preserve">A.0.13  </w:t>
      </w:r>
      <w:r>
        <w:rPr>
          <w:rFonts w:hint="eastAsia" w:ascii="Times New Roman"/>
          <w:bCs/>
          <w:color w:val="000000"/>
          <w:sz w:val="24"/>
        </w:rPr>
        <w:t>附件、附图、附表。应符合下列规定：</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1  </w:t>
      </w:r>
      <w:r>
        <w:rPr>
          <w:rFonts w:hint="eastAsia" w:ascii="Times New Roman"/>
          <w:bCs/>
          <w:color w:val="000000"/>
          <w:sz w:val="24"/>
        </w:rPr>
        <w:t>附件应包括下列内容：</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1</w:t>
      </w:r>
      <w:r>
        <w:rPr>
          <w:rFonts w:hint="eastAsia" w:ascii="Times New Roman"/>
          <w:bCs/>
          <w:color w:val="000000"/>
          <w:sz w:val="24"/>
        </w:rPr>
        <w:t>）项目立项的有关申报文件、工程可行性研究意见。</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2</w:t>
      </w:r>
      <w:r>
        <w:rPr>
          <w:rFonts w:hint="eastAsia" w:ascii="Times New Roman"/>
          <w:bCs/>
          <w:color w:val="000000"/>
          <w:sz w:val="24"/>
        </w:rPr>
        <w:t>）水土保持投资估（概）算附表。</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3</w:t>
      </w:r>
      <w:r>
        <w:rPr>
          <w:rFonts w:hint="eastAsia" w:ascii="Times New Roman"/>
          <w:bCs/>
          <w:color w:val="000000"/>
          <w:sz w:val="24"/>
        </w:rPr>
        <w:t>）其它。</w:t>
      </w:r>
    </w:p>
    <w:p>
      <w:pPr>
        <w:pStyle w:val="3"/>
        <w:snapToGrid w:val="0"/>
        <w:spacing w:line="360" w:lineRule="auto"/>
        <w:ind w:firstLine="448" w:firstLineChars="187"/>
        <w:outlineLvl w:val="0"/>
        <w:rPr>
          <w:rFonts w:ascii="Times New Roman"/>
          <w:bCs/>
          <w:color w:val="000000"/>
          <w:sz w:val="24"/>
        </w:rPr>
      </w:pPr>
      <w:r>
        <w:rPr>
          <w:rFonts w:ascii="Times New Roman"/>
          <w:bCs/>
          <w:color w:val="000000"/>
          <w:sz w:val="24"/>
        </w:rPr>
        <w:t xml:space="preserve">2  </w:t>
      </w:r>
      <w:r>
        <w:rPr>
          <w:rFonts w:hint="eastAsia" w:ascii="Times New Roman"/>
          <w:bCs/>
          <w:color w:val="000000"/>
          <w:sz w:val="24"/>
        </w:rPr>
        <w:t>附图应包括下列内容：</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1</w:t>
      </w:r>
      <w:r>
        <w:rPr>
          <w:rFonts w:hint="eastAsia" w:ascii="Times New Roman"/>
          <w:bCs/>
          <w:color w:val="000000"/>
          <w:sz w:val="24"/>
        </w:rPr>
        <w:t>）项目所在（经）地的地理位置图。</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2</w:t>
      </w:r>
      <w:r>
        <w:rPr>
          <w:rFonts w:hint="eastAsia" w:ascii="Times New Roman"/>
          <w:bCs/>
          <w:color w:val="000000"/>
          <w:sz w:val="24"/>
        </w:rPr>
        <w:t>）项目区地貌及水系图。</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3</w:t>
      </w:r>
      <w:r>
        <w:rPr>
          <w:rFonts w:hint="eastAsia" w:ascii="Times New Roman"/>
          <w:bCs/>
          <w:color w:val="000000"/>
          <w:sz w:val="24"/>
        </w:rPr>
        <w:t>）项目总平面布置图。</w:t>
      </w:r>
    </w:p>
    <w:p>
      <w:pPr>
        <w:pStyle w:val="3"/>
        <w:snapToGrid w:val="0"/>
        <w:spacing w:line="360" w:lineRule="auto"/>
        <w:ind w:firstLine="688" w:firstLineChars="287"/>
        <w:outlineLvl w:val="0"/>
        <w:rPr>
          <w:rFonts w:ascii="Times New Roman"/>
          <w:bCs/>
          <w:color w:val="000000"/>
          <w:spacing w:val="-2"/>
          <w:sz w:val="24"/>
        </w:rPr>
      </w:pPr>
      <w:r>
        <w:rPr>
          <w:rFonts w:ascii="Times New Roman"/>
          <w:bCs/>
          <w:color w:val="000000"/>
          <w:sz w:val="24"/>
        </w:rPr>
        <w:t>4</w:t>
      </w:r>
      <w:r>
        <w:rPr>
          <w:rFonts w:hint="eastAsia" w:ascii="Times New Roman"/>
          <w:bCs/>
          <w:color w:val="000000"/>
          <w:sz w:val="24"/>
        </w:rPr>
        <w:t>）</w:t>
      </w:r>
      <w:r>
        <w:rPr>
          <w:rFonts w:hint="eastAsia" w:ascii="Times New Roman"/>
          <w:bCs/>
          <w:color w:val="000000"/>
          <w:spacing w:val="-2"/>
          <w:sz w:val="24"/>
        </w:rPr>
        <w:t>项目区土壤侵蚀强度分布图、土地利用现状图、水土保持防治区划分图。</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5</w:t>
      </w:r>
      <w:r>
        <w:rPr>
          <w:rFonts w:hint="eastAsia" w:ascii="Times New Roman"/>
          <w:bCs/>
          <w:color w:val="000000"/>
          <w:sz w:val="24"/>
        </w:rPr>
        <w:t>）水土流失防治责任范围图。</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6</w:t>
      </w:r>
      <w:r>
        <w:rPr>
          <w:rFonts w:hint="eastAsia" w:ascii="Times New Roman"/>
          <w:bCs/>
          <w:color w:val="000000"/>
          <w:sz w:val="24"/>
        </w:rPr>
        <w:t>）水土流失防治分区及水土保持措施总体布局图。</w:t>
      </w:r>
    </w:p>
    <w:p>
      <w:pPr>
        <w:pStyle w:val="3"/>
        <w:snapToGrid w:val="0"/>
        <w:spacing w:line="360" w:lineRule="auto"/>
        <w:ind w:firstLine="688" w:firstLineChars="287"/>
        <w:outlineLvl w:val="0"/>
        <w:rPr>
          <w:rFonts w:ascii="Times New Roman"/>
          <w:bCs/>
          <w:color w:val="000000"/>
          <w:sz w:val="24"/>
        </w:rPr>
      </w:pPr>
      <w:r>
        <w:rPr>
          <w:rFonts w:ascii="Times New Roman"/>
          <w:bCs/>
          <w:color w:val="000000"/>
          <w:sz w:val="24"/>
        </w:rPr>
        <w:t>7</w:t>
      </w:r>
      <w:r>
        <w:rPr>
          <w:rFonts w:hint="eastAsia" w:ascii="Times New Roman"/>
          <w:bCs/>
          <w:color w:val="000000"/>
          <w:sz w:val="24"/>
        </w:rPr>
        <w:t>）水土保持措施典型设计图。</w:t>
      </w:r>
    </w:p>
    <w:p>
      <w:pPr>
        <w:pStyle w:val="3"/>
        <w:snapToGrid w:val="0"/>
        <w:spacing w:line="360" w:lineRule="auto"/>
        <w:ind w:firstLine="688" w:firstLineChars="287"/>
        <w:outlineLvl w:val="0"/>
        <w:rPr>
          <w:rFonts w:hint="eastAsia" w:ascii="Times New Roman"/>
          <w:bCs/>
          <w:color w:val="000000"/>
          <w:sz w:val="24"/>
        </w:rPr>
      </w:pPr>
      <w:r>
        <w:rPr>
          <w:rFonts w:ascii="Times New Roman"/>
          <w:bCs/>
          <w:color w:val="000000"/>
          <w:sz w:val="24"/>
        </w:rPr>
        <w:t>8</w:t>
      </w:r>
      <w:r>
        <w:rPr>
          <w:rFonts w:hint="eastAsia" w:ascii="Times New Roman"/>
          <w:bCs/>
          <w:color w:val="000000"/>
          <w:sz w:val="24"/>
        </w:rPr>
        <w:t>）水土保持监测点位布局图。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24D4F"/>
    <w:rsid w:val="5A824D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600" w:firstLineChars="200"/>
    </w:pPr>
    <w:rPr>
      <w:rFonts w:ascii="仿宋_GB2312" w:eastAsia="仿宋_GB2312"/>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2018-11-26T08:12:00Z</dcterms:created>
  <dc:creator>Administrator</dc:creator>
  <cp:lastModifiedBy>Administrator</cp:lastModifiedBy>
  <dcterms:modified xsi:type="dcterms:W3CDTF">2018-11-26T08:14:42Z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